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FF" w:rsidRPr="00193643" w:rsidRDefault="007E62FA">
      <w:pPr>
        <w:widowControl w:val="0"/>
        <w:spacing w:after="120"/>
        <w:jc w:val="center"/>
        <w:rPr>
          <w:rFonts w:eastAsia="標楷體"/>
          <w:sz w:val="40"/>
          <w:szCs w:val="40"/>
        </w:rPr>
      </w:pPr>
      <w:r w:rsidRPr="00193643">
        <w:rPr>
          <w:rFonts w:eastAsia="標楷體"/>
          <w:b/>
          <w:color w:val="FF0000"/>
          <w:sz w:val="40"/>
          <w:szCs w:val="40"/>
        </w:rPr>
        <w:t>公有零售市場</w:t>
      </w:r>
      <w:r w:rsidRPr="00193643">
        <w:rPr>
          <w:rFonts w:eastAsia="標楷體"/>
          <w:b/>
          <w:sz w:val="40"/>
          <w:szCs w:val="40"/>
        </w:rPr>
        <w:t>結構耐震補強設計期末審查表</w:t>
      </w:r>
    </w:p>
    <w:p w:rsidR="00AC57FF" w:rsidRPr="00193643" w:rsidRDefault="007E62FA">
      <w:pPr>
        <w:widowControl w:val="0"/>
        <w:spacing w:before="120" w:after="120"/>
        <w:jc w:val="center"/>
        <w:rPr>
          <w:rFonts w:eastAsia="標楷體"/>
          <w:sz w:val="40"/>
          <w:szCs w:val="40"/>
        </w:rPr>
      </w:pPr>
      <w:r w:rsidRPr="00193643">
        <w:rPr>
          <w:rFonts w:eastAsia="標楷體"/>
          <w:b/>
          <w:color w:val="FF0000"/>
          <w:sz w:val="36"/>
          <w:szCs w:val="36"/>
        </w:rPr>
        <w:t>特殊構造市場</w:t>
      </w:r>
      <w:r w:rsidRPr="00193643">
        <w:rPr>
          <w:rFonts w:eastAsia="標楷體"/>
          <w:b/>
          <w:color w:val="FF0000"/>
          <w:sz w:val="36"/>
          <w:szCs w:val="36"/>
        </w:rPr>
        <w:t>(</w:t>
      </w:r>
      <w:r w:rsidRPr="00193643">
        <w:rPr>
          <w:rFonts w:eastAsia="標楷體"/>
          <w:b/>
          <w:color w:val="FF0000"/>
          <w:sz w:val="36"/>
          <w:szCs w:val="36"/>
        </w:rPr>
        <w:t>磚構造或木構造</w:t>
      </w:r>
      <w:r w:rsidRPr="00193643">
        <w:rPr>
          <w:rFonts w:eastAsia="標楷體"/>
          <w:b/>
          <w:color w:val="FF0000"/>
          <w:sz w:val="36"/>
          <w:szCs w:val="36"/>
        </w:rPr>
        <w:t>)</w:t>
      </w:r>
    </w:p>
    <w:tbl>
      <w:tblPr>
        <w:tblStyle w:val="a5"/>
        <w:tblW w:w="9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396"/>
        <w:gridCol w:w="1488"/>
        <w:gridCol w:w="852"/>
        <w:gridCol w:w="566"/>
        <w:gridCol w:w="2515"/>
      </w:tblGrid>
      <w:tr w:rsidR="00AC57FF" w:rsidRPr="00193643" w:rsidTr="00571B93">
        <w:trPr>
          <w:jc w:val="center"/>
        </w:trPr>
        <w:tc>
          <w:tcPr>
            <w:tcW w:w="1470" w:type="dxa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193643">
              <w:rPr>
                <w:rFonts w:eastAsia="標楷體"/>
                <w:color w:val="FF0000"/>
                <w:sz w:val="28"/>
                <w:szCs w:val="28"/>
              </w:rPr>
              <w:t>主辦機關</w:t>
            </w:r>
          </w:p>
        </w:tc>
        <w:tc>
          <w:tcPr>
            <w:tcW w:w="3884" w:type="dxa"/>
            <w:gridSpan w:val="2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color w:val="FF0000"/>
                <w:sz w:val="28"/>
                <w:szCs w:val="28"/>
              </w:rPr>
              <w:t>市場</w:t>
            </w:r>
            <w:r w:rsidRPr="00193643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515" w:type="dxa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 w:rsidTr="00571B93">
        <w:trPr>
          <w:jc w:val="center"/>
        </w:trPr>
        <w:tc>
          <w:tcPr>
            <w:tcW w:w="1470" w:type="dxa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時</w:t>
            </w:r>
            <w:r w:rsidRPr="00193643">
              <w:rPr>
                <w:rFonts w:eastAsia="標楷體"/>
                <w:sz w:val="28"/>
                <w:szCs w:val="28"/>
              </w:rPr>
              <w:t xml:space="preserve">    </w:t>
            </w:r>
            <w:r w:rsidRPr="00193643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3884" w:type="dxa"/>
            <w:gridSpan w:val="2"/>
            <w:vAlign w:val="center"/>
          </w:tcPr>
          <w:p w:rsidR="00AC57FF" w:rsidRPr="00193643" w:rsidRDefault="00571B93" w:rsidP="00571B93">
            <w:pPr>
              <w:widowControl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937C2">
              <w:rPr>
                <w:rFonts w:ascii="標楷體" w:eastAsia="標楷體" w:hAnsi="標楷體"/>
                <w:sz w:val="28"/>
                <w:szCs w:val="28"/>
              </w:rPr>
              <w:t>年○月○日xx:xx~xx:xx</w:t>
            </w:r>
          </w:p>
        </w:tc>
        <w:tc>
          <w:tcPr>
            <w:tcW w:w="1418" w:type="dxa"/>
            <w:gridSpan w:val="2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地</w:t>
            </w:r>
            <w:r w:rsidRPr="00193643">
              <w:rPr>
                <w:rFonts w:eastAsia="標楷體"/>
                <w:sz w:val="28"/>
                <w:szCs w:val="28"/>
              </w:rPr>
              <w:t xml:space="preserve">    </w:t>
            </w:r>
            <w:r w:rsidRPr="00193643">
              <w:rPr>
                <w:rFonts w:eastAsia="標楷體"/>
                <w:sz w:val="28"/>
                <w:szCs w:val="28"/>
              </w:rPr>
              <w:t>點</w:t>
            </w:r>
          </w:p>
        </w:tc>
        <w:tc>
          <w:tcPr>
            <w:tcW w:w="2515" w:type="dxa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jc w:val="center"/>
        </w:trPr>
        <w:tc>
          <w:tcPr>
            <w:tcW w:w="1470" w:type="dxa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召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sz w:val="28"/>
                <w:szCs w:val="28"/>
              </w:rPr>
              <w:t>集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7817" w:type="dxa"/>
            <w:gridSpan w:val="5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460"/>
          <w:jc w:val="center"/>
        </w:trPr>
        <w:tc>
          <w:tcPr>
            <w:tcW w:w="1470" w:type="dxa"/>
            <w:vMerge w:val="restart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審查委員</w:t>
            </w:r>
          </w:p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</w:t>
            </w:r>
            <w:r w:rsidRPr="00193643">
              <w:rPr>
                <w:rFonts w:eastAsia="標楷體"/>
                <w:sz w:val="28"/>
                <w:szCs w:val="28"/>
              </w:rPr>
              <w:t>請簽名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96" w:type="dxa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460"/>
          <w:jc w:val="center"/>
        </w:trPr>
        <w:tc>
          <w:tcPr>
            <w:tcW w:w="1470" w:type="dxa"/>
            <w:vMerge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280"/>
          <w:jc w:val="center"/>
        </w:trPr>
        <w:tc>
          <w:tcPr>
            <w:tcW w:w="1470" w:type="dxa"/>
            <w:vAlign w:val="center"/>
          </w:tcPr>
          <w:p w:rsidR="00AC57FF" w:rsidRPr="00193643" w:rsidRDefault="007E62FA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甲方人員</w:t>
            </w:r>
          </w:p>
        </w:tc>
        <w:tc>
          <w:tcPr>
            <w:tcW w:w="7817" w:type="dxa"/>
            <w:gridSpan w:val="5"/>
            <w:vAlign w:val="center"/>
          </w:tcPr>
          <w:p w:rsidR="00AC57FF" w:rsidRPr="00193643" w:rsidRDefault="00AC57FF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71B93" w:rsidRPr="00193643" w:rsidTr="00571B93">
        <w:trPr>
          <w:trHeight w:val="510"/>
          <w:jc w:val="center"/>
        </w:trPr>
        <w:tc>
          <w:tcPr>
            <w:tcW w:w="1470" w:type="dxa"/>
            <w:vAlign w:val="center"/>
          </w:tcPr>
          <w:p w:rsidR="00571B93" w:rsidRPr="00193643" w:rsidRDefault="00571B93" w:rsidP="00571B93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承攬人</w:t>
            </w:r>
          </w:p>
        </w:tc>
        <w:tc>
          <w:tcPr>
            <w:tcW w:w="7817" w:type="dxa"/>
            <w:gridSpan w:val="5"/>
            <w:vAlign w:val="center"/>
          </w:tcPr>
          <w:p w:rsidR="00571B93" w:rsidRPr="00B937C2" w:rsidRDefault="00571B93" w:rsidP="00571B9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37C2">
              <w:rPr>
                <w:rFonts w:ascii="標楷體" w:eastAsia="標楷體" w:hAnsi="標楷體"/>
                <w:sz w:val="28"/>
                <w:szCs w:val="28"/>
              </w:rPr>
              <w:t>證號：○○○○字第○○○號    簽名：</w:t>
            </w:r>
          </w:p>
        </w:tc>
      </w:tr>
      <w:tr w:rsidR="00571B93" w:rsidRPr="00193643" w:rsidTr="00571B93">
        <w:trPr>
          <w:trHeight w:val="510"/>
          <w:jc w:val="center"/>
        </w:trPr>
        <w:tc>
          <w:tcPr>
            <w:tcW w:w="1470" w:type="dxa"/>
            <w:vAlign w:val="center"/>
          </w:tcPr>
          <w:p w:rsidR="00571B93" w:rsidRPr="00571B93" w:rsidRDefault="00571B93" w:rsidP="00571B93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r w:rsidRPr="00571B93">
              <w:rPr>
                <w:rFonts w:eastAsia="標楷體"/>
                <w:sz w:val="28"/>
                <w:szCs w:val="28"/>
              </w:rPr>
              <w:t>簽證者</w:t>
            </w:r>
          </w:p>
        </w:tc>
        <w:tc>
          <w:tcPr>
            <w:tcW w:w="7817" w:type="dxa"/>
            <w:gridSpan w:val="5"/>
            <w:vAlign w:val="center"/>
          </w:tcPr>
          <w:p w:rsidR="00571B93" w:rsidRPr="00B937C2" w:rsidRDefault="00571B93" w:rsidP="00571B9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937C2">
              <w:rPr>
                <w:rFonts w:ascii="標楷體" w:eastAsia="標楷體" w:hAnsi="標楷體"/>
                <w:sz w:val="28"/>
                <w:szCs w:val="28"/>
              </w:rPr>
              <w:t>證號：○○○○字第○○○號    簽名：</w:t>
            </w:r>
          </w:p>
        </w:tc>
      </w:tr>
    </w:tbl>
    <w:p w:rsidR="00AC57FF" w:rsidRPr="00193643" w:rsidRDefault="00AC57FF">
      <w:pPr>
        <w:widowControl w:val="0"/>
        <w:rPr>
          <w:rFonts w:eastAsia="標楷體"/>
          <w:sz w:val="24"/>
          <w:szCs w:val="24"/>
        </w:rPr>
      </w:pPr>
    </w:p>
    <w:tbl>
      <w:tblPr>
        <w:tblStyle w:val="a7"/>
        <w:tblW w:w="92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16"/>
        <w:gridCol w:w="64"/>
        <w:gridCol w:w="6379"/>
      </w:tblGrid>
      <w:tr w:rsidR="00AC57FF" w:rsidRPr="00193643" w:rsidTr="00571B93">
        <w:trPr>
          <w:trHeight w:val="510"/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 w:rsidP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一、期初審查意見之回覆說明：</w:t>
            </w:r>
            <w:r w:rsidR="00193643"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3643">
              <w:rPr>
                <w:rFonts w:eastAsia="標楷體"/>
                <w:sz w:val="28"/>
                <w:szCs w:val="28"/>
              </w:rPr>
              <w:t>同意；</w:t>
            </w:r>
            <w:r w:rsidR="00193643"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3643">
              <w:rPr>
                <w:rFonts w:eastAsia="標楷體"/>
                <w:sz w:val="28"/>
                <w:szCs w:val="28"/>
              </w:rPr>
              <w:t>不同意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請於審查意見補充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C57FF" w:rsidRPr="00193643">
        <w:trPr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二、修復補強工法</w:t>
            </w:r>
          </w:p>
        </w:tc>
      </w:tr>
      <w:tr w:rsidR="00AC57FF" w:rsidRPr="00193643">
        <w:trPr>
          <w:trHeight w:val="122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1. </w:t>
            </w:r>
            <w:r w:rsidRPr="00193643">
              <w:rPr>
                <w:rFonts w:eastAsia="標楷體"/>
                <w:sz w:val="28"/>
                <w:szCs w:val="28"/>
              </w:rPr>
              <w:t>補強工法對採光、外觀等使用性之檢討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71B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71B93" w:rsidRPr="00571B9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主辦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機關</w:t>
            </w:r>
            <w:r w:rsidR="007E62FA" w:rsidRPr="00193643">
              <w:rPr>
                <w:rFonts w:eastAsia="標楷體"/>
                <w:sz w:val="28"/>
                <w:szCs w:val="28"/>
              </w:rPr>
              <w:t>同意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="00571B93" w:rsidRPr="00571B93">
              <w:rPr>
                <w:rFonts w:eastAsia="標楷體" w:hint="eastAsia"/>
                <w:color w:val="FF0000"/>
                <w:sz w:val="28"/>
                <w:szCs w:val="28"/>
              </w:rPr>
              <w:t>主辦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機關</w:t>
            </w:r>
            <w:r w:rsidR="007E62FA" w:rsidRPr="00193643">
              <w:rPr>
                <w:rFonts w:eastAsia="標楷體"/>
                <w:sz w:val="28"/>
                <w:szCs w:val="28"/>
              </w:rPr>
              <w:t>不同意；改善意見：</w:t>
            </w:r>
            <w:r w:rsidR="007E62FA"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</w:tc>
      </w:tr>
      <w:tr w:rsidR="00AC57FF" w:rsidRPr="00193643">
        <w:trPr>
          <w:trHeight w:val="90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2. </w:t>
            </w:r>
            <w:r w:rsidRPr="00193643">
              <w:rPr>
                <w:rFonts w:eastAsia="標楷體"/>
                <w:sz w:val="28"/>
                <w:szCs w:val="28"/>
              </w:rPr>
              <w:t>補強工法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X</w:t>
            </w:r>
            <w:r w:rsidRPr="00193643">
              <w:rPr>
                <w:rFonts w:eastAsia="標楷體"/>
                <w:sz w:val="28"/>
                <w:szCs w:val="28"/>
              </w:rPr>
              <w:t>向：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Y</w:t>
            </w:r>
            <w:r w:rsidRPr="00193643">
              <w:rPr>
                <w:rFonts w:eastAsia="標楷體"/>
                <w:sz w:val="28"/>
                <w:szCs w:val="28"/>
              </w:rPr>
              <w:t>向：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</w:tc>
      </w:tr>
      <w:tr w:rsidR="00AC57FF" w:rsidRPr="00193643">
        <w:trPr>
          <w:trHeight w:val="52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  <w:vertAlign w:val="subscript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3. </w:t>
            </w:r>
            <w:r w:rsidRPr="00193643">
              <w:rPr>
                <w:rFonts w:eastAsia="標楷體"/>
                <w:sz w:val="28"/>
                <w:szCs w:val="28"/>
              </w:rPr>
              <w:t>總樓地板面積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(3)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sz w:val="28"/>
                <w:szCs w:val="28"/>
              </w:rPr>
              <w:t>平方公尺（核定面積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A</w:t>
            </w:r>
            <w:r w:rsidRPr="00193643">
              <w:rPr>
                <w:rFonts w:eastAsia="標楷體"/>
                <w:color w:val="FF0000"/>
                <w:sz w:val="28"/>
                <w:szCs w:val="28"/>
                <w:vertAlign w:val="subscript"/>
              </w:rPr>
              <w:t>f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193643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193643">
              <w:rPr>
                <w:rFonts w:eastAsia="標楷體"/>
                <w:sz w:val="28"/>
                <w:szCs w:val="28"/>
              </w:rPr>
              <w:t xml:space="preserve"> m</w:t>
            </w:r>
            <w:r w:rsidRPr="00193643">
              <w:rPr>
                <w:rFonts w:eastAsia="標楷體"/>
                <w:sz w:val="28"/>
                <w:szCs w:val="28"/>
                <w:vertAlign w:val="superscript"/>
              </w:rPr>
              <w:t>2</w:t>
            </w:r>
            <w:r w:rsidRPr="00193643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AC57FF" w:rsidRPr="00193643">
        <w:trPr>
          <w:trHeight w:val="52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193643">
              <w:rPr>
                <w:rFonts w:eastAsia="標楷體"/>
                <w:color w:val="7030A0"/>
                <w:sz w:val="28"/>
                <w:szCs w:val="28"/>
              </w:rPr>
              <w:t xml:space="preserve">4.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預估補強工程核定經費</w:t>
            </w:r>
          </w:p>
          <w:p w:rsidR="00AC57FF" w:rsidRPr="00193643" w:rsidRDefault="007E62FA">
            <w:pPr>
              <w:widowControl w:val="0"/>
              <w:ind w:left="240"/>
              <w:rPr>
                <w:rFonts w:eastAsia="標楷體"/>
                <w:color w:val="7030A0"/>
                <w:sz w:val="28"/>
                <w:szCs w:val="28"/>
              </w:rPr>
            </w:pPr>
            <w:r w:rsidRPr="00193643">
              <w:rPr>
                <w:rFonts w:eastAsia="標楷體"/>
                <w:b/>
                <w:color w:val="7030A0"/>
                <w:sz w:val="28"/>
                <w:szCs w:val="28"/>
              </w:rPr>
              <w:t>【原則為補強設計階段編列補強工程總經費之上限】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spacing w:before="72"/>
              <w:rPr>
                <w:rFonts w:eastAsia="標楷體"/>
                <w:color w:val="7030A0"/>
                <w:sz w:val="12"/>
                <w:szCs w:val="12"/>
              </w:rPr>
            </w:pPr>
            <w:r w:rsidRPr="00193643">
              <w:rPr>
                <w:rFonts w:eastAsia="標楷體"/>
                <w:color w:val="7030A0"/>
                <w:sz w:val="28"/>
                <w:szCs w:val="28"/>
              </w:rPr>
              <w:t>補強單價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U</w:t>
            </w:r>
            <w:r w:rsidRPr="00193643">
              <w:rPr>
                <w:rFonts w:eastAsia="標楷體"/>
                <w:color w:val="7030A0"/>
                <w:sz w:val="16"/>
                <w:szCs w:val="16"/>
              </w:rPr>
              <w:t xml:space="preserve">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×</w:t>
            </w:r>
            <w:r w:rsidRPr="00193643">
              <w:rPr>
                <w:rFonts w:eastAsia="標楷體"/>
                <w:color w:val="7030A0"/>
                <w:sz w:val="16"/>
                <w:szCs w:val="16"/>
              </w:rPr>
              <w:t xml:space="preserve"> </w:t>
            </w:r>
            <w:r w:rsidRPr="00193643">
              <w:rPr>
                <w:rFonts w:eastAsia="標楷體"/>
                <w:color w:val="800000"/>
                <w:sz w:val="28"/>
                <w:szCs w:val="28"/>
              </w:rPr>
              <w:t>計價面積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 xml:space="preserve">A = </w:t>
            </w:r>
            <w:r w:rsidRPr="00193643">
              <w:rPr>
                <w:rFonts w:eastAsia="標楷體"/>
                <w:color w:val="7030A0"/>
                <w:sz w:val="28"/>
                <w:szCs w:val="28"/>
                <w:u w:val="single"/>
              </w:rPr>
              <w:t xml:space="preserve">           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元</w:t>
            </w:r>
            <w:r w:rsidRPr="00193643">
              <w:rPr>
                <w:rFonts w:eastAsia="標楷體"/>
                <w:b/>
                <w:color w:val="7030A0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b/>
                <w:color w:val="7030A0"/>
                <w:sz w:val="28"/>
                <w:szCs w:val="28"/>
              </w:rPr>
              <w:br/>
            </w:r>
          </w:p>
          <w:p w:rsidR="00571B93" w:rsidRPr="00571B93" w:rsidRDefault="00571B93" w:rsidP="00571B9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40" w:hangingChars="100" w:hanging="240"/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</w:pPr>
            <w:r w:rsidRPr="00571B9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(1.請依</w:t>
            </w:r>
            <w:r w:rsidRPr="00571B93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經濟</w:t>
            </w:r>
            <w:r w:rsidRPr="00571B93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部</w:t>
            </w:r>
            <w:r w:rsidRPr="00571B93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107</w:t>
            </w:r>
            <w:r w:rsidRPr="00571B93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年月日</w:t>
            </w:r>
            <w:r w:rsidRPr="00571B9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修正後之「補強工程」參考單價計價方式辦理)</w:t>
            </w:r>
          </w:p>
          <w:p w:rsidR="00AC57FF" w:rsidRPr="00193643" w:rsidRDefault="00571B93" w:rsidP="00571B93">
            <w:pPr>
              <w:widowControl w:val="0"/>
              <w:rPr>
                <w:rFonts w:eastAsia="標楷體"/>
                <w:color w:val="7030A0"/>
                <w:sz w:val="28"/>
                <w:szCs w:val="28"/>
              </w:rPr>
            </w:pPr>
            <w:r w:rsidRPr="00571B9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(2.</w:t>
            </w:r>
            <w:r w:rsidRPr="00571B9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上述單價計價方式可至</w:t>
            </w:r>
            <w:r w:rsidRPr="00571B93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公有零售市場耐震補強資訊平台</w:t>
            </w:r>
            <w:r w:rsidRPr="00571B9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及相關設備整建網</w:t>
            </w:r>
            <w:r w:rsidRPr="00571B9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查詢(</w:t>
            </w:r>
            <w:r w:rsidRPr="00571B93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  <w:t>http://140.134.48.46/market/Default.aspx</w:t>
            </w:r>
            <w:r w:rsidRPr="00571B9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)</w:t>
            </w:r>
          </w:p>
        </w:tc>
      </w:tr>
      <w:tr w:rsidR="00AC57FF" w:rsidRPr="00193643">
        <w:trPr>
          <w:trHeight w:val="104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5. </w:t>
            </w:r>
            <w:r w:rsidRPr="00193643">
              <w:rPr>
                <w:rFonts w:eastAsia="標楷體"/>
                <w:sz w:val="28"/>
                <w:szCs w:val="28"/>
              </w:rPr>
              <w:t>修復補強工程經費</w:t>
            </w:r>
            <w:r w:rsidRPr="00193643">
              <w:rPr>
                <w:rFonts w:eastAsia="標楷體"/>
                <w:sz w:val="28"/>
                <w:szCs w:val="28"/>
              </w:rPr>
              <w:t>(</w:t>
            </w:r>
            <w:r w:rsidRPr="00193643">
              <w:rPr>
                <w:rFonts w:eastAsia="標楷體"/>
                <w:sz w:val="28"/>
                <w:szCs w:val="28"/>
              </w:rPr>
              <w:t>含保險、利稅等間接費用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(5a)</w:t>
            </w:r>
            <w:r w:rsidRPr="00193643">
              <w:rPr>
                <w:rFonts w:eastAsia="標楷體"/>
                <w:sz w:val="28"/>
                <w:szCs w:val="28"/>
              </w:rPr>
              <w:t>直接補強工程費用：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(5b)</w:t>
            </w:r>
            <w:r w:rsidRPr="00193643">
              <w:rPr>
                <w:rFonts w:eastAsia="標楷體"/>
                <w:sz w:val="28"/>
                <w:szCs w:val="28"/>
              </w:rPr>
              <w:t>修復工程費用：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(5c)</w:t>
            </w:r>
            <w:r w:rsidRPr="00193643">
              <w:rPr>
                <w:rFonts w:eastAsia="標楷體"/>
                <w:sz w:val="28"/>
                <w:szCs w:val="28"/>
              </w:rPr>
              <w:t>其他費用：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AC57FF" w:rsidRPr="00193643">
        <w:trPr>
          <w:trHeight w:val="6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6. </w:t>
            </w:r>
            <w:r w:rsidRPr="00193643">
              <w:rPr>
                <w:rFonts w:eastAsia="標楷體"/>
                <w:sz w:val="28"/>
                <w:szCs w:val="28"/>
              </w:rPr>
              <w:t>直接工程費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(6a)</w:t>
            </w:r>
            <w:r w:rsidRPr="00193643">
              <w:rPr>
                <w:rFonts w:eastAsia="標楷體"/>
                <w:sz w:val="28"/>
                <w:szCs w:val="28"/>
              </w:rPr>
              <w:t>補強經費</w:t>
            </w:r>
            <w:r w:rsidRPr="00193643">
              <w:rPr>
                <w:rFonts w:eastAsia="標楷體"/>
                <w:sz w:val="28"/>
                <w:szCs w:val="28"/>
              </w:rPr>
              <w:t>(5a+5c*5a/(5a+5b))</w:t>
            </w:r>
            <w:r w:rsidRPr="00193643">
              <w:rPr>
                <w:rFonts w:eastAsia="標楷體"/>
                <w:sz w:val="28"/>
                <w:szCs w:val="28"/>
              </w:rPr>
              <w:t>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(6b)</w:t>
            </w:r>
            <w:r w:rsidRPr="00193643">
              <w:rPr>
                <w:rFonts w:eastAsia="標楷體"/>
                <w:sz w:val="28"/>
                <w:szCs w:val="28"/>
              </w:rPr>
              <w:t>修復經費</w:t>
            </w:r>
            <w:r w:rsidRPr="00193643">
              <w:rPr>
                <w:rFonts w:eastAsia="標楷體"/>
                <w:sz w:val="28"/>
                <w:szCs w:val="28"/>
              </w:rPr>
              <w:t>(5b+5c*5b/(5a+5b))</w:t>
            </w:r>
            <w:r w:rsidRPr="00193643">
              <w:rPr>
                <w:rFonts w:eastAsia="標楷體"/>
                <w:sz w:val="28"/>
                <w:szCs w:val="28"/>
              </w:rPr>
              <w:t>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AC57FF" w:rsidRPr="00193643">
        <w:trPr>
          <w:trHeight w:val="6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7. </w:t>
            </w:r>
            <w:r w:rsidRPr="00193643">
              <w:rPr>
                <w:rFonts w:eastAsia="標楷體"/>
                <w:sz w:val="28"/>
                <w:szCs w:val="28"/>
              </w:rPr>
              <w:t>間接工程費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(7a)</w:t>
            </w:r>
            <w:r w:rsidRPr="00193643">
              <w:rPr>
                <w:rFonts w:eastAsia="標楷體"/>
                <w:sz w:val="28"/>
                <w:szCs w:val="28"/>
              </w:rPr>
              <w:t>補強設計監造費：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(7b)</w:t>
            </w:r>
            <w:r w:rsidRPr="00193643">
              <w:rPr>
                <w:rFonts w:eastAsia="標楷體"/>
                <w:sz w:val="28"/>
                <w:szCs w:val="28"/>
              </w:rPr>
              <w:t>補強工程管理費：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(7c)</w:t>
            </w:r>
            <w:r w:rsidRPr="00193643">
              <w:rPr>
                <w:rFonts w:eastAsia="標楷體"/>
                <w:sz w:val="28"/>
                <w:szCs w:val="28"/>
              </w:rPr>
              <w:t>空氣汙染防制費：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(7d)</w:t>
            </w:r>
            <w:r w:rsidRPr="00193643">
              <w:rPr>
                <w:rFonts w:eastAsia="標楷體"/>
                <w:sz w:val="28"/>
                <w:szCs w:val="28"/>
              </w:rPr>
              <w:t>材料抽驗費：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193643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AC57FF" w:rsidRPr="00193643">
        <w:trPr>
          <w:trHeight w:val="102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rPr>
                <w:rFonts w:eastAsia="標楷體"/>
                <w:color w:val="0070C0"/>
                <w:sz w:val="28"/>
                <w:szCs w:val="28"/>
              </w:rPr>
            </w:pPr>
            <w:r w:rsidRPr="00193643">
              <w:rPr>
                <w:rFonts w:eastAsia="標楷體"/>
                <w:color w:val="0070C0"/>
                <w:sz w:val="28"/>
                <w:szCs w:val="28"/>
              </w:rPr>
              <w:lastRenderedPageBreak/>
              <w:t xml:space="preserve">8. </w:t>
            </w:r>
            <w:r w:rsidRPr="00193643">
              <w:rPr>
                <w:rFonts w:eastAsia="標楷體"/>
                <w:color w:val="0070C0"/>
                <w:sz w:val="28"/>
                <w:szCs w:val="28"/>
              </w:rPr>
              <w:t>總補強經費</w:t>
            </w:r>
            <w:r w:rsidRPr="00193643">
              <w:rPr>
                <w:rFonts w:eastAsia="標楷體"/>
                <w:color w:val="0070C0"/>
                <w:sz w:val="28"/>
                <w:szCs w:val="28"/>
              </w:rPr>
              <w:t>(6a+6b+7a+7b</w:t>
            </w:r>
          </w:p>
          <w:p w:rsidR="00AC57FF" w:rsidRPr="00193643" w:rsidRDefault="007E62FA">
            <w:pPr>
              <w:widowControl w:val="0"/>
              <w:ind w:left="358" w:hanging="358"/>
              <w:rPr>
                <w:rFonts w:eastAsia="標楷體"/>
                <w:color w:val="0070C0"/>
                <w:sz w:val="28"/>
                <w:szCs w:val="28"/>
              </w:rPr>
            </w:pPr>
            <w:r w:rsidRPr="00193643">
              <w:rPr>
                <w:rFonts w:eastAsia="標楷體"/>
                <w:color w:val="0070C0"/>
                <w:sz w:val="28"/>
                <w:szCs w:val="28"/>
              </w:rPr>
              <w:t xml:space="preserve">   +7c+7d)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color w:val="0070C0"/>
                <w:sz w:val="28"/>
                <w:szCs w:val="28"/>
              </w:rPr>
            </w:pPr>
            <w:r w:rsidRPr="00193643">
              <w:rPr>
                <w:rFonts w:eastAsia="標楷體"/>
                <w:color w:val="0070C0"/>
                <w:sz w:val="28"/>
                <w:szCs w:val="28"/>
                <w:u w:val="single"/>
              </w:rPr>
              <w:t xml:space="preserve">                   </w:t>
            </w:r>
            <w:r w:rsidRPr="00193643">
              <w:rPr>
                <w:rFonts w:eastAsia="標楷體"/>
                <w:color w:val="0070C0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color w:val="0070C0"/>
                <w:sz w:val="28"/>
                <w:szCs w:val="28"/>
              </w:rPr>
              <w:t>元</w:t>
            </w:r>
          </w:p>
        </w:tc>
      </w:tr>
      <w:tr w:rsidR="00AC57FF" w:rsidRPr="00193643">
        <w:trPr>
          <w:trHeight w:val="102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9. </w:t>
            </w:r>
            <w:r w:rsidRPr="00193643">
              <w:rPr>
                <w:rFonts w:eastAsia="標楷體"/>
                <w:sz w:val="28"/>
                <w:szCs w:val="28"/>
              </w:rPr>
              <w:t>總補強經費單價</w:t>
            </w:r>
            <w:r w:rsidRPr="00193643">
              <w:rPr>
                <w:rFonts w:eastAsia="標楷體"/>
                <w:sz w:val="28"/>
                <w:szCs w:val="28"/>
              </w:rPr>
              <w:t xml:space="preserve">(6a+6b+7a+7b+7c+7d) / 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A</w:t>
            </w:r>
            <w:r w:rsidRPr="00193643">
              <w:rPr>
                <w:rFonts w:eastAsia="標楷體"/>
                <w:color w:val="FF0000"/>
                <w:sz w:val="28"/>
                <w:szCs w:val="28"/>
                <w:vertAlign w:val="subscript"/>
              </w:rPr>
              <w:t>f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4,000/m</w:t>
            </w:r>
            <w:r w:rsidR="007E62FA" w:rsidRPr="00193643">
              <w:rPr>
                <w:rFonts w:eastAsia="標楷體"/>
                <w:sz w:val="28"/>
                <w:szCs w:val="28"/>
                <w:vertAlign w:val="superscript"/>
              </w:rPr>
              <w:t>2</w:t>
            </w:r>
            <w:r w:rsidR="007E62FA" w:rsidRPr="00193643">
              <w:rPr>
                <w:rFonts w:eastAsia="標楷體"/>
                <w:sz w:val="28"/>
                <w:szCs w:val="28"/>
              </w:rPr>
              <w:t>以下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4,000/m</w:t>
            </w:r>
            <w:r w:rsidR="007E62FA" w:rsidRPr="00193643">
              <w:rPr>
                <w:rFonts w:eastAsia="標楷體"/>
                <w:sz w:val="28"/>
                <w:szCs w:val="28"/>
                <w:vertAlign w:val="superscript"/>
              </w:rPr>
              <w:t>2</w:t>
            </w:r>
            <w:r w:rsidR="007E62FA" w:rsidRPr="00193643">
              <w:rPr>
                <w:rFonts w:eastAsia="標楷體"/>
                <w:sz w:val="28"/>
                <w:szCs w:val="28"/>
              </w:rPr>
              <w:t>以上，說明充分理由：</w:t>
            </w:r>
            <w:r w:rsidR="007E62FA"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spacing w:after="12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</w:tc>
      </w:tr>
      <w:tr w:rsidR="00AC57FF" w:rsidRPr="00193643">
        <w:trPr>
          <w:trHeight w:val="88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10. </w:t>
            </w:r>
            <w:r w:rsidRPr="00193643">
              <w:rPr>
                <w:rFonts w:eastAsia="標楷體"/>
                <w:sz w:val="28"/>
                <w:szCs w:val="28"/>
              </w:rPr>
              <w:t>修復經費佔第</w:t>
            </w:r>
            <w:r w:rsidRPr="00193643">
              <w:rPr>
                <w:rFonts w:eastAsia="標楷體"/>
                <w:sz w:val="28"/>
                <w:szCs w:val="28"/>
              </w:rPr>
              <w:t>5</w:t>
            </w:r>
            <w:r w:rsidRPr="00193643">
              <w:rPr>
                <w:rFonts w:eastAsia="標楷體"/>
                <w:sz w:val="28"/>
                <w:szCs w:val="28"/>
              </w:rPr>
              <w:t>項修復補強工程經費之比例</w:t>
            </w:r>
            <w:r w:rsidRPr="00193643">
              <w:rPr>
                <w:rFonts w:eastAsia="標楷體"/>
                <w:sz w:val="28"/>
                <w:szCs w:val="28"/>
              </w:rPr>
              <w:t>(6b) / (6a+6b)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30%</w:t>
            </w:r>
            <w:r w:rsidR="007E62FA" w:rsidRPr="00193643">
              <w:rPr>
                <w:rFonts w:eastAsia="標楷體"/>
                <w:sz w:val="28"/>
                <w:szCs w:val="28"/>
              </w:rPr>
              <w:t>以下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30%</w:t>
            </w:r>
            <w:r w:rsidR="007E62FA" w:rsidRPr="00193643">
              <w:rPr>
                <w:rFonts w:eastAsia="標楷體"/>
                <w:sz w:val="28"/>
                <w:szCs w:val="28"/>
              </w:rPr>
              <w:t>以上，說明充分理由：</w:t>
            </w:r>
            <w:r w:rsidR="007E62FA"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</w:t>
            </w:r>
            <w:r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 w:rsidP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</w:tc>
      </w:tr>
      <w:tr w:rsidR="00AC57FF" w:rsidRPr="00193643">
        <w:trPr>
          <w:trHeight w:val="880"/>
          <w:jc w:val="center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554" w:hanging="554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color w:val="7030A0"/>
                <w:sz w:val="28"/>
                <w:szCs w:val="28"/>
              </w:rPr>
              <w:t>11</w:t>
            </w:r>
            <w:r w:rsidRPr="00193643">
              <w:rPr>
                <w:rFonts w:eastAsia="標楷體"/>
                <w:color w:val="800080"/>
                <w:sz w:val="28"/>
                <w:szCs w:val="28"/>
              </w:rPr>
              <w:t>.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必要之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攤商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安置費用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限資本門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)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br/>
              <w:t>(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若無，則免填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color w:val="7030A0"/>
                <w:sz w:val="24"/>
                <w:szCs w:val="24"/>
                <w:u w:val="single"/>
              </w:rPr>
            </w:pPr>
            <w:r w:rsidRPr="00193643">
              <w:rPr>
                <w:rFonts w:eastAsia="標楷體"/>
                <w:color w:val="7030A0"/>
                <w:sz w:val="28"/>
                <w:szCs w:val="28"/>
                <w:u w:val="single"/>
              </w:rPr>
              <w:t xml:space="preserve">           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元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color w:val="7030A0"/>
                <w:sz w:val="24"/>
                <w:szCs w:val="24"/>
              </w:rPr>
              <w:t>(</w:t>
            </w:r>
            <w:r w:rsidRPr="00193643">
              <w:rPr>
                <w:rFonts w:eastAsia="標楷體"/>
                <w:color w:val="7030A0"/>
                <w:sz w:val="24"/>
                <w:szCs w:val="24"/>
              </w:rPr>
              <w:t>註：主要支出用途：</w:t>
            </w:r>
            <w:r w:rsidRPr="00193643">
              <w:rPr>
                <w:rFonts w:eastAsia="標楷體"/>
                <w:color w:val="7030A0"/>
                <w:sz w:val="24"/>
                <w:szCs w:val="24"/>
                <w:u w:val="single"/>
              </w:rPr>
              <w:t xml:space="preserve">　　　　　　　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  <w:p w:rsidR="00AC57FF" w:rsidRPr="00193643" w:rsidRDefault="007E62FA">
            <w:pPr>
              <w:widowControl w:val="0"/>
              <w:ind w:firstLine="216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color w:val="7030A0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193643">
              <w:rPr>
                <w:rFonts w:eastAsia="標楷體"/>
                <w:color w:val="7030A0"/>
                <w:sz w:val="24"/>
                <w:szCs w:val="24"/>
              </w:rPr>
              <w:t>)</w:t>
            </w:r>
          </w:p>
        </w:tc>
      </w:tr>
      <w:tr w:rsidR="00AC57FF" w:rsidRPr="00193643">
        <w:trPr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三、補強後結構物耐震能力評估結果：</w:t>
            </w:r>
          </w:p>
        </w:tc>
      </w:tr>
      <w:tr w:rsidR="00AC57FF" w:rsidRPr="00193643">
        <w:trPr>
          <w:trHeight w:val="12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1. </w:t>
            </w:r>
            <w:r w:rsidRPr="00193643">
              <w:rPr>
                <w:rFonts w:eastAsia="標楷體"/>
                <w:sz w:val="28"/>
                <w:szCs w:val="28"/>
              </w:rPr>
              <w:t>補強設計結果是否已上傳暫存</w:t>
            </w:r>
          </w:p>
        </w:tc>
        <w:tc>
          <w:tcPr>
            <w:tcW w:w="6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="007E62FA" w:rsidRPr="00193643">
              <w:rPr>
                <w:rFonts w:eastAsia="標楷體"/>
                <w:sz w:val="28"/>
                <w:szCs w:val="28"/>
              </w:rPr>
              <w:t>是；</w:t>
            </w: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E62FA" w:rsidRPr="00193643">
              <w:rPr>
                <w:rFonts w:eastAsia="標楷體"/>
                <w:sz w:val="28"/>
                <w:szCs w:val="28"/>
              </w:rPr>
              <w:t>否</w:t>
            </w:r>
            <w:r w:rsidR="007E62FA"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="007E62FA" w:rsidRPr="00193643">
              <w:rPr>
                <w:rFonts w:eastAsia="標楷體"/>
                <w:sz w:val="28"/>
                <w:szCs w:val="28"/>
              </w:rPr>
              <w:t>須於結案前完成上傳</w:t>
            </w:r>
            <w:r w:rsidR="007E62FA" w:rsidRPr="0019364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C57FF" w:rsidRPr="00193643">
        <w:trPr>
          <w:trHeight w:val="150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36" w:hanging="336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193643">
              <w:rPr>
                <w:rFonts w:eastAsia="標楷體"/>
                <w:color w:val="7030A0"/>
                <w:sz w:val="28"/>
                <w:szCs w:val="28"/>
              </w:rPr>
              <w:t xml:space="preserve">2. </w:t>
            </w:r>
            <w:r w:rsidRPr="00193643">
              <w:rPr>
                <w:rFonts w:eastAsia="標楷體"/>
                <w:color w:val="7030A0"/>
                <w:sz w:val="28"/>
                <w:szCs w:val="28"/>
              </w:rPr>
              <w:t>是否為近斷層校舍？</w:t>
            </w:r>
          </w:p>
        </w:tc>
        <w:tc>
          <w:tcPr>
            <w:tcW w:w="6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ind w:left="336" w:hanging="336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是，屬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內政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部列管鄰近斷層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200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公尺內之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市場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，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  <w:u w:val="single"/>
              </w:rPr>
              <w:br/>
              <w:t xml:space="preserve">          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斷層</w:t>
            </w:r>
          </w:p>
          <w:p w:rsidR="00AC57FF" w:rsidRPr="00193643" w:rsidRDefault="00193643">
            <w:pPr>
              <w:widowControl w:val="0"/>
              <w:ind w:left="336" w:hanging="336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是，非屬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內政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部列管鄰近斷層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200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公尺內之</w:t>
            </w:r>
            <w:r w:rsidR="007E62FA" w:rsidRPr="00193643">
              <w:rPr>
                <w:rFonts w:eastAsia="標楷體"/>
                <w:color w:val="FF0000"/>
                <w:sz w:val="28"/>
                <w:szCs w:val="28"/>
              </w:rPr>
              <w:t>市場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，但鄰近耐震設計規範已明訂之斷層：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br/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  <w:u w:val="single"/>
              </w:rPr>
              <w:t xml:space="preserve">　　　　　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斷層，距離斷層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  <w:u w:val="single"/>
              </w:rPr>
              <w:t xml:space="preserve">　　　　　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公里</w:t>
            </w:r>
          </w:p>
          <w:p w:rsidR="00AC57FF" w:rsidRPr="00193643" w:rsidRDefault="00193643">
            <w:pPr>
              <w:widowControl w:val="0"/>
              <w:ind w:left="336" w:hanging="336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color w:val="7030A0"/>
                <w:sz w:val="28"/>
                <w:szCs w:val="28"/>
              </w:rPr>
              <w:t>否</w:t>
            </w:r>
          </w:p>
        </w:tc>
      </w:tr>
      <w:tr w:rsidR="00AC57FF" w:rsidRPr="00193643">
        <w:trPr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36" w:hanging="336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3. 475</w:t>
            </w:r>
            <w:r w:rsidRPr="00193643">
              <w:rPr>
                <w:rFonts w:eastAsia="標楷體"/>
                <w:sz w:val="28"/>
                <w:szCs w:val="28"/>
              </w:rPr>
              <w:t>年設計地表加速度</w:t>
            </w:r>
          </w:p>
        </w:tc>
        <w:tc>
          <w:tcPr>
            <w:tcW w:w="6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0.4×S</w:t>
            </w:r>
            <w:r w:rsidRPr="00193643">
              <w:rPr>
                <w:rFonts w:eastAsia="標楷體"/>
                <w:sz w:val="28"/>
                <w:szCs w:val="28"/>
                <w:vertAlign w:val="subscript"/>
              </w:rPr>
              <w:t>DS</w:t>
            </w:r>
            <w:r w:rsidRPr="00193643">
              <w:rPr>
                <w:rFonts w:eastAsia="標楷體"/>
                <w:sz w:val="28"/>
                <w:szCs w:val="28"/>
              </w:rPr>
              <w:t xml:space="preserve"> =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193643">
              <w:rPr>
                <w:rFonts w:eastAsia="標楷體"/>
                <w:sz w:val="28"/>
                <w:szCs w:val="28"/>
              </w:rPr>
              <w:t xml:space="preserve"> g</w:t>
            </w:r>
          </w:p>
        </w:tc>
      </w:tr>
      <w:tr w:rsidR="00AC57FF" w:rsidRPr="00193643">
        <w:trPr>
          <w:trHeight w:val="366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4. </w:t>
            </w:r>
            <w:r w:rsidRPr="00193643">
              <w:rPr>
                <w:rFonts w:eastAsia="標楷體"/>
                <w:sz w:val="28"/>
                <w:szCs w:val="28"/>
              </w:rPr>
              <w:t>確認補強後耐震能力之分析方法</w:t>
            </w:r>
          </w:p>
        </w:tc>
        <w:tc>
          <w:tcPr>
            <w:tcW w:w="6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spacing w:line="360" w:lineRule="auto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193643">
              <w:rPr>
                <w:rFonts w:eastAsia="標楷體"/>
                <w:b/>
                <w:color w:val="7030A0"/>
                <w:sz w:val="28"/>
                <w:szCs w:val="28"/>
              </w:rPr>
              <w:t>磚構造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樓層極限剪力係數法</w:t>
            </w:r>
          </w:p>
          <w:p w:rsidR="00AC57FF" w:rsidRPr="00193643" w:rsidRDefault="00193643">
            <w:pPr>
              <w:widowControl w:val="0"/>
              <w:spacing w:line="276" w:lineRule="auto"/>
              <w:ind w:left="177" w:hanging="177"/>
              <w:jc w:val="both"/>
              <w:rPr>
                <w:rFonts w:eastAsia="標楷體"/>
                <w:color w:val="7030A0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磚造建築耐震快速診斷法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磚牆力學特性評估法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側推分析法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彈性反應譜分析法</w:t>
            </w:r>
          </w:p>
          <w:p w:rsidR="00AC57FF" w:rsidRPr="00193643" w:rsidRDefault="00193643">
            <w:pPr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其他較具公信力之方法</w:t>
            </w: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7E62FA">
            <w:pPr>
              <w:widowControl w:val="0"/>
              <w:spacing w:line="360" w:lineRule="auto"/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193643">
              <w:rPr>
                <w:rFonts w:eastAsia="標楷體"/>
                <w:b/>
                <w:color w:val="7030A0"/>
                <w:sz w:val="28"/>
                <w:szCs w:val="28"/>
              </w:rPr>
              <w:t>木構造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保有耐力診斷法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靜力分析法</w:t>
            </w:r>
          </w:p>
          <w:p w:rsidR="00AC57FF" w:rsidRPr="00193643" w:rsidRDefault="00193643">
            <w:pPr>
              <w:widowControl w:val="0"/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4"/>
                <w:szCs w:val="24"/>
              </w:rPr>
              <w:t>其他較具公信力之方法</w:t>
            </w:r>
          </w:p>
        </w:tc>
      </w:tr>
      <w:tr w:rsidR="00AC57FF" w:rsidRPr="00193643">
        <w:trPr>
          <w:trHeight w:val="60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5. 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市場</w:t>
            </w:r>
            <w:r w:rsidRPr="00193643">
              <w:rPr>
                <w:rFonts w:eastAsia="標楷體"/>
                <w:sz w:val="28"/>
                <w:szCs w:val="28"/>
              </w:rPr>
              <w:t>用途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color w:val="FF0000"/>
                <w:sz w:val="28"/>
                <w:szCs w:val="28"/>
              </w:rPr>
              <w:lastRenderedPageBreak/>
              <w:t>(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若使用側推分析法則須填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I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值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)</w:t>
            </w:r>
            <w:r w:rsidRPr="00193643">
              <w:rPr>
                <w:rFonts w:eastAsia="標楷體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6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一般用途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緊急避難用途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 xml:space="preserve"> I = 1.25</w:t>
            </w:r>
          </w:p>
          <w:p w:rsidR="00AC57FF" w:rsidRPr="00193643" w:rsidRDefault="00193643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 xml:space="preserve"> I = 1.5</w:t>
            </w:r>
          </w:p>
        </w:tc>
      </w:tr>
      <w:tr w:rsidR="00AC57FF" w:rsidRPr="00193643">
        <w:trPr>
          <w:trHeight w:val="110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lastRenderedPageBreak/>
              <w:t xml:space="preserve">6. </w:t>
            </w:r>
            <w:r w:rsidRPr="00193643">
              <w:rPr>
                <w:rFonts w:eastAsia="標楷體"/>
                <w:sz w:val="28"/>
                <w:szCs w:val="28"/>
              </w:rPr>
              <w:t>耐震需求描述</w:t>
            </w:r>
          </w:p>
        </w:tc>
        <w:tc>
          <w:tcPr>
            <w:tcW w:w="6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AC57FF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20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7. </w:t>
            </w:r>
            <w:r w:rsidRPr="00193643">
              <w:rPr>
                <w:rFonts w:eastAsia="標楷體"/>
                <w:sz w:val="28"/>
                <w:szCs w:val="28"/>
              </w:rPr>
              <w:t>耐震能力評估結果</w:t>
            </w:r>
          </w:p>
        </w:tc>
        <w:tc>
          <w:tcPr>
            <w:tcW w:w="6659" w:type="dxa"/>
            <w:gridSpan w:val="3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性能目標地表加速度</w:t>
            </w:r>
            <w:r w:rsidRPr="00193643">
              <w:rPr>
                <w:rFonts w:eastAsia="標楷體"/>
                <w:sz w:val="28"/>
                <w:szCs w:val="28"/>
              </w:rPr>
              <w:t>A</w:t>
            </w:r>
            <w:r w:rsidRPr="00193643">
              <w:rPr>
                <w:rFonts w:eastAsia="標楷體"/>
                <w:sz w:val="28"/>
                <w:szCs w:val="28"/>
                <w:vertAlign w:val="subscript"/>
              </w:rPr>
              <w:t>p=</w:t>
            </w:r>
            <w:r w:rsidRPr="00193643">
              <w:rPr>
                <w:rFonts w:eastAsia="標楷體"/>
                <w:sz w:val="28"/>
                <w:szCs w:val="28"/>
                <w:u w:val="single"/>
                <w:vertAlign w:val="subscript"/>
              </w:rPr>
              <w:t xml:space="preserve">               </w:t>
            </w:r>
            <w:r w:rsidRPr="00193643">
              <w:rPr>
                <w:rFonts w:eastAsia="標楷體"/>
                <w:sz w:val="28"/>
                <w:szCs w:val="28"/>
              </w:rPr>
              <w:t>g(</w:t>
            </w:r>
            <w:r w:rsidRPr="00193643">
              <w:rPr>
                <w:rFonts w:eastAsia="標楷體"/>
                <w:sz w:val="28"/>
                <w:szCs w:val="28"/>
              </w:rPr>
              <w:t>取最小值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X</w:t>
            </w:r>
            <w:r w:rsidRPr="00193643">
              <w:rPr>
                <w:rFonts w:eastAsia="標楷體"/>
                <w:sz w:val="28"/>
                <w:szCs w:val="28"/>
              </w:rPr>
              <w:t>向</w:t>
            </w:r>
            <w:r w:rsidRPr="00193643">
              <w:rPr>
                <w:rFonts w:eastAsia="標楷體"/>
                <w:sz w:val="28"/>
                <w:szCs w:val="28"/>
              </w:rPr>
              <w:t>: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193643">
              <w:rPr>
                <w:rFonts w:eastAsia="標楷體"/>
                <w:sz w:val="28"/>
                <w:szCs w:val="28"/>
              </w:rPr>
              <w:t xml:space="preserve"> g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Y</w:t>
            </w:r>
            <w:r w:rsidRPr="00193643">
              <w:rPr>
                <w:rFonts w:eastAsia="標楷體"/>
                <w:sz w:val="28"/>
                <w:szCs w:val="28"/>
              </w:rPr>
              <w:t>向</w:t>
            </w:r>
            <w:r w:rsidRPr="00193643">
              <w:rPr>
                <w:rFonts w:eastAsia="標楷體"/>
                <w:sz w:val="28"/>
                <w:szCs w:val="28"/>
              </w:rPr>
              <w:t>:</w:t>
            </w:r>
          </w:p>
          <w:p w:rsidR="00AC57FF" w:rsidRPr="00193643" w:rsidRDefault="007E62FA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193643">
              <w:rPr>
                <w:rFonts w:eastAsia="標楷體"/>
                <w:sz w:val="28"/>
                <w:szCs w:val="28"/>
              </w:rPr>
              <w:t xml:space="preserve"> g</w:t>
            </w:r>
          </w:p>
        </w:tc>
      </w:tr>
      <w:tr w:rsidR="00AC57FF" w:rsidRPr="00193643">
        <w:trPr>
          <w:trHeight w:val="80"/>
          <w:jc w:val="center"/>
        </w:trPr>
        <w:tc>
          <w:tcPr>
            <w:tcW w:w="2605" w:type="dxa"/>
            <w:tcBorders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414" w:hanging="414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8. CDR(</w:t>
            </w:r>
            <w:r w:rsidRPr="00193643">
              <w:rPr>
                <w:rFonts w:eastAsia="標楷體"/>
                <w:sz w:val="28"/>
                <w:szCs w:val="28"/>
              </w:rPr>
              <w:t>耐震容量</w:t>
            </w:r>
            <w:r w:rsidRPr="00193643">
              <w:rPr>
                <w:rFonts w:eastAsia="標楷體"/>
                <w:sz w:val="28"/>
                <w:szCs w:val="28"/>
              </w:rPr>
              <w:t>/</w:t>
            </w:r>
            <w:r w:rsidRPr="00193643">
              <w:rPr>
                <w:rFonts w:eastAsia="標楷體"/>
                <w:sz w:val="28"/>
                <w:szCs w:val="28"/>
              </w:rPr>
              <w:t>耐震需求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C57FF" w:rsidRPr="00193643" w:rsidRDefault="00AC57FF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1400"/>
          <w:jc w:val="center"/>
        </w:trPr>
        <w:tc>
          <w:tcPr>
            <w:tcW w:w="2605" w:type="dxa"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58" w:hanging="358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9. </w:t>
            </w:r>
            <w:r w:rsidRPr="00193643">
              <w:rPr>
                <w:rFonts w:eastAsia="標楷體"/>
                <w:sz w:val="28"/>
                <w:szCs w:val="28"/>
              </w:rPr>
              <w:t>耐震能力是否合格</w:t>
            </w:r>
          </w:p>
        </w:tc>
        <w:tc>
          <w:tcPr>
            <w:tcW w:w="6659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193643">
            <w:pPr>
              <w:widowControl w:val="0"/>
              <w:ind w:left="420" w:hanging="420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是，耐震容量</w:t>
            </w:r>
            <w:r w:rsidR="007E62FA" w:rsidRPr="00193643">
              <w:rPr>
                <w:rFonts w:eastAsia="標楷體"/>
                <w:sz w:val="28"/>
                <w:szCs w:val="28"/>
              </w:rPr>
              <w:t>(</w:t>
            </w:r>
            <w:r w:rsidR="007E62FA" w:rsidRPr="00193643">
              <w:rPr>
                <w:rFonts w:eastAsia="標楷體"/>
                <w:sz w:val="28"/>
                <w:szCs w:val="28"/>
              </w:rPr>
              <w:t>地表加速度</w:t>
            </w:r>
            <w:r w:rsidR="007E62FA" w:rsidRPr="00193643">
              <w:rPr>
                <w:rFonts w:eastAsia="標楷體"/>
                <w:sz w:val="28"/>
                <w:szCs w:val="28"/>
              </w:rPr>
              <w:t>)&gt;</w:t>
            </w:r>
            <w:r w:rsidR="007E62FA" w:rsidRPr="00193643">
              <w:rPr>
                <w:rFonts w:eastAsia="標楷體"/>
                <w:sz w:val="28"/>
                <w:szCs w:val="28"/>
              </w:rPr>
              <w:t>耐震需求</w:t>
            </w:r>
            <w:r w:rsidR="007E62FA" w:rsidRPr="00193643">
              <w:rPr>
                <w:rFonts w:eastAsia="標楷體"/>
                <w:sz w:val="28"/>
                <w:szCs w:val="28"/>
              </w:rPr>
              <w:t>(</w:t>
            </w:r>
            <w:r w:rsidR="007E62FA" w:rsidRPr="00193643">
              <w:rPr>
                <w:rFonts w:eastAsia="標楷體"/>
                <w:sz w:val="28"/>
                <w:szCs w:val="28"/>
              </w:rPr>
              <w:t>地表加速度</w:t>
            </w:r>
            <w:r w:rsidR="007E62FA"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193643">
            <w:pPr>
              <w:widowControl w:val="0"/>
              <w:rPr>
                <w:rFonts w:eastAsia="標楷體"/>
                <w:sz w:val="28"/>
                <w:szCs w:val="28"/>
              </w:rPr>
            </w:pPr>
            <w:r w:rsidRPr="00424FB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E62FA" w:rsidRPr="00193643">
              <w:rPr>
                <w:rFonts w:eastAsia="標楷體"/>
                <w:sz w:val="28"/>
                <w:szCs w:val="28"/>
              </w:rPr>
              <w:t>否</w:t>
            </w:r>
            <w:r w:rsidR="007E62FA" w:rsidRPr="00193643">
              <w:rPr>
                <w:rFonts w:eastAsia="標楷體"/>
                <w:sz w:val="28"/>
                <w:szCs w:val="28"/>
              </w:rPr>
              <w:t>(</w:t>
            </w:r>
            <w:r w:rsidR="007E62FA" w:rsidRPr="00193643">
              <w:rPr>
                <w:rFonts w:eastAsia="標楷體"/>
                <w:sz w:val="28"/>
                <w:szCs w:val="28"/>
              </w:rPr>
              <w:t>耐震容量</w:t>
            </w:r>
            <w:r w:rsidR="007E62FA" w:rsidRPr="00193643">
              <w:rPr>
                <w:rFonts w:eastAsia="標楷體"/>
                <w:sz w:val="28"/>
                <w:szCs w:val="28"/>
              </w:rPr>
              <w:t>&lt;</w:t>
            </w:r>
            <w:r w:rsidR="007E62FA" w:rsidRPr="00193643">
              <w:rPr>
                <w:rFonts w:eastAsia="標楷體"/>
                <w:sz w:val="28"/>
                <w:szCs w:val="28"/>
              </w:rPr>
              <w:t>耐震需求</w:t>
            </w:r>
            <w:r w:rsidR="007E62FA" w:rsidRPr="0019364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C57FF" w:rsidRPr="00193643">
        <w:trPr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四、補強後耐震能力分析技術檢核</w:t>
            </w:r>
          </w:p>
        </w:tc>
      </w:tr>
      <w:tr w:rsidR="00AC57FF" w:rsidRPr="00193643" w:rsidTr="00571B93">
        <w:trPr>
          <w:trHeight w:val="3076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C57FF" w:rsidRPr="00193643" w:rsidRDefault="007E62FA">
            <w:pPr>
              <w:ind w:left="213" w:hanging="213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1.</w:t>
            </w:r>
            <w:r w:rsidRPr="00193643">
              <w:rPr>
                <w:rFonts w:eastAsia="標楷體"/>
                <w:sz w:val="28"/>
                <w:szCs w:val="28"/>
              </w:rPr>
              <w:t>評估方法之檢核要點</w:t>
            </w:r>
          </w:p>
        </w:tc>
        <w:tc>
          <w:tcPr>
            <w:tcW w:w="6659" w:type="dxa"/>
            <w:gridSpan w:val="3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請依本要項詳列檢核要點，並敘明各檢核要點是否合理：</w:t>
            </w: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  <w:p w:rsidR="00AC57FF" w:rsidRPr="00193643" w:rsidRDefault="00AC57F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C57FF" w:rsidRPr="00193643">
        <w:trPr>
          <w:trHeight w:val="1920"/>
          <w:jc w:val="center"/>
        </w:trPr>
        <w:tc>
          <w:tcPr>
            <w:tcW w:w="2605" w:type="dxa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C57FF" w:rsidRPr="00193643" w:rsidRDefault="007E62FA">
            <w:pPr>
              <w:ind w:left="227" w:hanging="227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2.</w:t>
            </w:r>
            <w:r w:rsidRPr="00193643">
              <w:rPr>
                <w:rFonts w:eastAsia="標楷體"/>
                <w:sz w:val="28"/>
                <w:szCs w:val="28"/>
              </w:rPr>
              <w:t>評估結果是否合理</w:t>
            </w:r>
          </w:p>
        </w:tc>
        <w:tc>
          <w:tcPr>
            <w:tcW w:w="6659" w:type="dxa"/>
            <w:gridSpan w:val="3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420" w:hanging="420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□</w:t>
            </w:r>
            <w:r w:rsidRPr="00193643">
              <w:rPr>
                <w:rFonts w:eastAsia="標楷體"/>
                <w:sz w:val="28"/>
                <w:szCs w:val="28"/>
              </w:rPr>
              <w:t>合理</w:t>
            </w:r>
          </w:p>
          <w:p w:rsidR="00AC57FF" w:rsidRPr="00193643" w:rsidRDefault="007E62FA">
            <w:pPr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□</w:t>
            </w:r>
            <w:r w:rsidRPr="00193643">
              <w:rPr>
                <w:rFonts w:eastAsia="標楷體"/>
                <w:sz w:val="28"/>
                <w:szCs w:val="28"/>
              </w:rPr>
              <w:t>不合理，應再重新進行耐震能力評估。</w:t>
            </w:r>
          </w:p>
        </w:tc>
      </w:tr>
      <w:tr w:rsidR="00AC57FF" w:rsidRPr="00193643">
        <w:trPr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五、補強工程發包事項</w:t>
            </w:r>
          </w:p>
        </w:tc>
      </w:tr>
      <w:tr w:rsidR="00AC57FF" w:rsidRPr="00193643">
        <w:trPr>
          <w:trHeight w:val="280"/>
          <w:jc w:val="center"/>
        </w:trPr>
        <w:tc>
          <w:tcPr>
            <w:tcW w:w="282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1. </w:t>
            </w:r>
            <w:r w:rsidRPr="00193643">
              <w:rPr>
                <w:rFonts w:eastAsia="標楷體"/>
                <w:sz w:val="28"/>
                <w:szCs w:val="28"/>
              </w:rPr>
              <w:t>補強工程工期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193643">
              <w:rPr>
                <w:rFonts w:eastAsia="標楷體"/>
                <w:sz w:val="28"/>
                <w:szCs w:val="28"/>
              </w:rPr>
              <w:t xml:space="preserve"> </w:t>
            </w:r>
            <w:r w:rsidRPr="00193643">
              <w:rPr>
                <w:rFonts w:eastAsia="標楷體"/>
                <w:sz w:val="28"/>
                <w:szCs w:val="28"/>
              </w:rPr>
              <w:t>天</w:t>
            </w:r>
          </w:p>
        </w:tc>
      </w:tr>
      <w:tr w:rsidR="00AC57FF" w:rsidRPr="00193643">
        <w:trPr>
          <w:jc w:val="center"/>
        </w:trPr>
        <w:tc>
          <w:tcPr>
            <w:tcW w:w="282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ind w:left="395" w:hanging="395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 xml:space="preserve">2. </w:t>
            </w:r>
            <w:r w:rsidRPr="00193643">
              <w:rPr>
                <w:rFonts w:eastAsia="標楷體"/>
                <w:sz w:val="28"/>
                <w:szCs w:val="28"/>
              </w:rPr>
              <w:t>相關文件是否備齊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發包藍圖</w:t>
            </w:r>
            <w:r w:rsidRPr="00193643">
              <w:rPr>
                <w:rFonts w:eastAsia="標楷體"/>
                <w:sz w:val="28"/>
                <w:szCs w:val="28"/>
              </w:rPr>
              <w:t xml:space="preserve">  </w:t>
            </w:r>
            <w:r w:rsidRPr="00193643">
              <w:rPr>
                <w:rFonts w:eastAsia="標楷體"/>
                <w:sz w:val="28"/>
                <w:szCs w:val="28"/>
              </w:rPr>
              <w:t>：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是；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否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限期備齊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施工說明書：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是；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否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限期備齊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工程預算書：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是；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否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限期備齊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材料使用表：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是；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否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限期備齊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sz w:val="28"/>
                <w:szCs w:val="28"/>
              </w:rPr>
              <w:t>監造計畫書：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是；</w:t>
            </w:r>
            <w:r w:rsidRPr="00193643">
              <w:rPr>
                <w:rFonts w:eastAsia="標楷體"/>
                <w:sz w:val="28"/>
                <w:szCs w:val="28"/>
              </w:rPr>
              <w:t xml:space="preserve">□ </w:t>
            </w:r>
            <w:r w:rsidRPr="00193643">
              <w:rPr>
                <w:rFonts w:eastAsia="標楷體"/>
                <w:sz w:val="28"/>
                <w:szCs w:val="28"/>
              </w:rPr>
              <w:t>否</w:t>
            </w:r>
            <w:r w:rsidRPr="00193643">
              <w:rPr>
                <w:rFonts w:eastAsia="標楷體"/>
                <w:sz w:val="28"/>
                <w:szCs w:val="28"/>
              </w:rPr>
              <w:t xml:space="preserve"> (</w:t>
            </w:r>
            <w:r w:rsidRPr="00193643">
              <w:rPr>
                <w:rFonts w:eastAsia="標楷體"/>
                <w:sz w:val="28"/>
                <w:szCs w:val="28"/>
              </w:rPr>
              <w:t>限期備齊</w:t>
            </w:r>
            <w:r w:rsidRPr="00193643">
              <w:rPr>
                <w:rFonts w:eastAsia="標楷體"/>
                <w:sz w:val="28"/>
                <w:szCs w:val="28"/>
              </w:rPr>
              <w:t>)</w:t>
            </w:r>
          </w:p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193643">
              <w:rPr>
                <w:rFonts w:eastAsia="標楷體"/>
                <w:sz w:val="28"/>
                <w:szCs w:val="28"/>
              </w:rPr>
              <w:t>其他：</w:t>
            </w:r>
            <w:r w:rsidRPr="00193643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</w:t>
            </w:r>
            <w:r w:rsidR="00193643" w:rsidRPr="00424FB8">
              <w:rPr>
                <w:rFonts w:eastAsia="標楷體" w:hint="eastAsia"/>
                <w:color w:val="FFFFFF" w:themeColor="background1"/>
                <w:sz w:val="28"/>
                <w:szCs w:val="28"/>
                <w:u w:val="single" w:color="000000" w:themeColor="text1"/>
              </w:rPr>
              <w:t>。</w:t>
            </w:r>
          </w:p>
        </w:tc>
      </w:tr>
      <w:tr w:rsidR="00AC57FF" w:rsidRPr="00193643">
        <w:trPr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lastRenderedPageBreak/>
              <w:t>六、審查意見</w:t>
            </w:r>
          </w:p>
        </w:tc>
      </w:tr>
      <w:tr w:rsidR="00AC57FF" w:rsidRPr="00193643" w:rsidTr="00571B93">
        <w:trPr>
          <w:trHeight w:val="8367"/>
          <w:jc w:val="center"/>
        </w:trPr>
        <w:tc>
          <w:tcPr>
            <w:tcW w:w="92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57FF" w:rsidRPr="00193643" w:rsidRDefault="00AC57FF">
            <w:pPr>
              <w:widowControl w:val="0"/>
              <w:jc w:val="both"/>
              <w:rPr>
                <w:rFonts w:eastAsia="標楷體"/>
                <w:sz w:val="36"/>
                <w:szCs w:val="36"/>
              </w:rPr>
            </w:pPr>
          </w:p>
        </w:tc>
      </w:tr>
      <w:tr w:rsidR="00AC57FF" w:rsidRPr="00193643" w:rsidTr="00571B93">
        <w:trPr>
          <w:trHeight w:val="523"/>
          <w:jc w:val="center"/>
        </w:trPr>
        <w:tc>
          <w:tcPr>
            <w:tcW w:w="92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AC57FF" w:rsidRPr="00193643" w:rsidRDefault="007E62FA">
            <w:pPr>
              <w:widowControl w:val="0"/>
              <w:jc w:val="both"/>
              <w:rPr>
                <w:rFonts w:eastAsia="標楷體"/>
                <w:sz w:val="28"/>
                <w:szCs w:val="28"/>
              </w:rPr>
            </w:pPr>
            <w:r w:rsidRPr="00193643">
              <w:rPr>
                <w:rFonts w:eastAsia="標楷體"/>
                <w:b/>
                <w:sz w:val="28"/>
                <w:szCs w:val="28"/>
              </w:rPr>
              <w:t>七、審查結論</w:t>
            </w:r>
          </w:p>
        </w:tc>
      </w:tr>
      <w:tr w:rsidR="00AC57FF" w:rsidRPr="00193643">
        <w:trPr>
          <w:trHeight w:val="2120"/>
          <w:jc w:val="center"/>
        </w:trPr>
        <w:tc>
          <w:tcPr>
            <w:tcW w:w="9264" w:type="dxa"/>
            <w:gridSpan w:val="4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C57FF" w:rsidRPr="00571B93" w:rsidRDefault="007E62FA">
            <w:pPr>
              <w:widowControl w:val="0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>□ 通過技術審查（附註一）。</w:t>
            </w:r>
          </w:p>
          <w:p w:rsidR="00AC57FF" w:rsidRPr="00571B93" w:rsidRDefault="007E62FA">
            <w:pPr>
              <w:widowControl w:val="0"/>
              <w:ind w:left="448" w:hanging="4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>□ 須進行書面審查。乙方應依審查意見於7日內完成改善並送審。書面審查方式如下：</w:t>
            </w:r>
          </w:p>
          <w:p w:rsidR="00AC57FF" w:rsidRPr="00571B93" w:rsidRDefault="007E62FA">
            <w:pPr>
              <w:widowControl w:val="0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 xml:space="preserve">　 □1.應送召集人書面審查。</w:t>
            </w:r>
          </w:p>
          <w:p w:rsidR="00AC57FF" w:rsidRPr="00571B93" w:rsidRDefault="007E62FA">
            <w:pPr>
              <w:widowControl w:val="0"/>
              <w:ind w:left="84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 xml:space="preserve">　 □2.應送各審查委員書面審查後，由召集人彙整各審查委員之書面審查意見。</w:t>
            </w:r>
          </w:p>
          <w:p w:rsidR="00AC57FF" w:rsidRPr="00571B93" w:rsidRDefault="007E62FA">
            <w:pPr>
              <w:widowControl w:val="0"/>
              <w:ind w:left="1008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>註：書面審查後，請召集人填寫期末審查書面審查表通知</w:t>
            </w:r>
            <w:r w:rsidRPr="00571B93">
              <w:rPr>
                <w:rFonts w:ascii="標楷體" w:eastAsia="標楷體" w:hAnsi="標楷體"/>
                <w:color w:val="FF0000"/>
                <w:sz w:val="28"/>
                <w:szCs w:val="28"/>
              </w:rPr>
              <w:t>專案辦公室</w:t>
            </w:r>
            <w:r w:rsidRPr="00571B93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571B93">
              <w:rPr>
                <w:rFonts w:ascii="標楷體" w:eastAsia="標楷體" w:hAnsi="標楷體"/>
                <w:color w:val="FF0000"/>
                <w:sz w:val="28"/>
                <w:szCs w:val="28"/>
              </w:rPr>
              <w:t>縣市承辦單位</w:t>
            </w:r>
            <w:r w:rsidRPr="00571B93">
              <w:rPr>
                <w:rFonts w:ascii="標楷體" w:eastAsia="標楷體" w:hAnsi="標楷體"/>
                <w:sz w:val="28"/>
                <w:szCs w:val="28"/>
              </w:rPr>
              <w:t>，並副知甲方。</w:t>
            </w:r>
          </w:p>
          <w:p w:rsidR="00571B93" w:rsidRPr="00571B93" w:rsidRDefault="007E62FA" w:rsidP="00571B93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71B93" w:rsidRPr="00571B93">
              <w:rPr>
                <w:rFonts w:ascii="標楷體" w:eastAsia="標楷體" w:hAnsi="標楷體"/>
                <w:sz w:val="28"/>
                <w:szCs w:val="28"/>
              </w:rPr>
              <w:t>不通過，須進行期末複審，原因：</w:t>
            </w:r>
            <w:r w:rsidR="00571B93" w:rsidRPr="00571B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571B93" w:rsidRPr="00571B93" w:rsidRDefault="00571B93" w:rsidP="00571B93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71B93">
              <w:rPr>
                <w:rFonts w:ascii="標楷體" w:eastAsia="標楷體" w:hAnsi="標楷體"/>
                <w:sz w:val="28"/>
                <w:szCs w:val="28"/>
              </w:rPr>
              <w:t xml:space="preserve">  期末複審日期：</w:t>
            </w:r>
            <w:r w:rsidRPr="00571B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571B93">
              <w:rPr>
                <w:rFonts w:ascii="標楷體" w:eastAsia="標楷體" w:hAnsi="標楷體"/>
                <w:sz w:val="28"/>
                <w:szCs w:val="28"/>
              </w:rPr>
              <w:t>；時間：</w:t>
            </w:r>
            <w:r w:rsidRPr="00571B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571B93">
              <w:rPr>
                <w:rFonts w:ascii="標楷體" w:eastAsia="標楷體" w:hAnsi="標楷體"/>
                <w:sz w:val="28"/>
                <w:szCs w:val="28"/>
              </w:rPr>
              <w:t>；地點：</w:t>
            </w:r>
            <w:r w:rsidRPr="00571B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AC57FF" w:rsidRPr="00193643" w:rsidRDefault="007E62FA">
            <w:pPr>
              <w:widowControl w:val="0"/>
              <w:ind w:left="216" w:hanging="216"/>
              <w:jc w:val="both"/>
              <w:rPr>
                <w:rFonts w:eastAsia="標楷體"/>
                <w:sz w:val="28"/>
                <w:szCs w:val="28"/>
              </w:rPr>
            </w:pPr>
            <w:r w:rsidRPr="00571B93">
              <w:rPr>
                <w:rFonts w:ascii="標楷體" w:eastAsia="標楷體" w:hAnsi="標楷體"/>
                <w:b/>
                <w:sz w:val="24"/>
                <w:szCs w:val="24"/>
              </w:rPr>
              <w:t>（期末複審約定</w:t>
            </w:r>
            <w:r w:rsidRPr="00193643">
              <w:rPr>
                <w:rFonts w:eastAsia="標楷體"/>
                <w:b/>
                <w:sz w:val="24"/>
                <w:szCs w:val="24"/>
              </w:rPr>
              <w:t>時間以兩週內為限，期末複審每場時間原則為</w:t>
            </w:r>
            <w:r w:rsidRPr="00193643">
              <w:rPr>
                <w:rFonts w:eastAsia="標楷體"/>
                <w:b/>
                <w:sz w:val="24"/>
                <w:szCs w:val="24"/>
              </w:rPr>
              <w:t>1.5</w:t>
            </w:r>
            <w:r w:rsidRPr="00193643">
              <w:rPr>
                <w:rFonts w:eastAsia="標楷體"/>
                <w:b/>
                <w:sz w:val="24"/>
                <w:szCs w:val="24"/>
              </w:rPr>
              <w:t>小時，當日不宜安排超過</w:t>
            </w:r>
            <w:r w:rsidRPr="00193643">
              <w:rPr>
                <w:rFonts w:eastAsia="標楷體"/>
                <w:b/>
                <w:sz w:val="24"/>
                <w:szCs w:val="24"/>
              </w:rPr>
              <w:t>6</w:t>
            </w:r>
            <w:r w:rsidRPr="00193643">
              <w:rPr>
                <w:rFonts w:eastAsia="標楷體"/>
                <w:b/>
                <w:sz w:val="24"/>
                <w:szCs w:val="24"/>
              </w:rPr>
              <w:t>場）</w:t>
            </w:r>
            <w:bookmarkStart w:id="0" w:name="_GoBack"/>
            <w:bookmarkEnd w:id="0"/>
          </w:p>
        </w:tc>
      </w:tr>
    </w:tbl>
    <w:p w:rsidR="00571B93" w:rsidRPr="00571B93" w:rsidRDefault="00571B93" w:rsidP="00571B93">
      <w:pPr>
        <w:snapToGrid w:val="0"/>
        <w:ind w:left="961" w:hangingChars="400" w:hanging="961"/>
        <w:rPr>
          <w:rFonts w:ascii="標楷體" w:eastAsia="標楷體" w:hAnsi="標楷體"/>
          <w:b/>
          <w:sz w:val="24"/>
        </w:rPr>
      </w:pPr>
      <w:r w:rsidRPr="00571B93">
        <w:rPr>
          <w:rFonts w:eastAsia="標楷體" w:hAnsi="標楷體"/>
          <w:b/>
          <w:sz w:val="24"/>
        </w:rPr>
        <w:t>附註一：通過</w:t>
      </w:r>
      <w:r w:rsidRPr="00571B93">
        <w:rPr>
          <w:rFonts w:eastAsia="標楷體"/>
          <w:b/>
          <w:sz w:val="24"/>
        </w:rPr>
        <w:t>技術</w:t>
      </w:r>
      <w:r w:rsidRPr="00571B93">
        <w:rPr>
          <w:rFonts w:eastAsia="標楷體" w:hAnsi="標楷體"/>
          <w:b/>
          <w:sz w:val="24"/>
        </w:rPr>
        <w:t>審查者，尚待</w:t>
      </w:r>
      <w:r w:rsidRPr="00571B93">
        <w:rPr>
          <w:rFonts w:eastAsia="標楷體" w:hAnsi="標楷體" w:hint="eastAsia"/>
          <w:b/>
          <w:color w:val="FF0000"/>
          <w:sz w:val="24"/>
        </w:rPr>
        <w:t>經濟部中辦</w:t>
      </w:r>
      <w:r w:rsidRPr="00571B93">
        <w:rPr>
          <w:rFonts w:eastAsia="標楷體" w:hAnsi="標楷體"/>
          <w:b/>
          <w:sz w:val="24"/>
        </w:rPr>
        <w:t>進行相關作業規範之資料檢核。審查結果以</w:t>
      </w:r>
      <w:r w:rsidRPr="00571B93">
        <w:rPr>
          <w:rFonts w:eastAsia="標楷體" w:hAnsi="標楷體" w:hint="eastAsia"/>
          <w:b/>
          <w:color w:val="FF0000"/>
          <w:sz w:val="24"/>
        </w:rPr>
        <w:t>經濟部中辦</w:t>
      </w:r>
      <w:r w:rsidRPr="00571B93">
        <w:rPr>
          <w:rFonts w:eastAsia="標楷體" w:hAnsi="標楷體"/>
          <w:b/>
          <w:sz w:val="24"/>
        </w:rPr>
        <w:t>行文為準。</w:t>
      </w:r>
    </w:p>
    <w:p w:rsidR="00571B93" w:rsidRPr="00571B93" w:rsidRDefault="00571B93" w:rsidP="00571B93">
      <w:pPr>
        <w:rPr>
          <w:rFonts w:ascii="標楷體" w:eastAsia="標楷體" w:hAnsi="標楷體"/>
          <w:b/>
          <w:sz w:val="24"/>
        </w:rPr>
      </w:pPr>
      <w:r w:rsidRPr="00571B93">
        <w:rPr>
          <w:rFonts w:ascii="標楷體" w:eastAsia="標楷體" w:hAnsi="標楷體"/>
          <w:b/>
          <w:sz w:val="24"/>
        </w:rPr>
        <w:t>附註二：倘乙方未於7日內回覆書面審查資料，審查結果將視為不通過。</w:t>
      </w:r>
    </w:p>
    <w:p w:rsidR="00AC57FF" w:rsidRPr="00571B93" w:rsidRDefault="00571B93" w:rsidP="00571B93">
      <w:pPr>
        <w:snapToGrid w:val="0"/>
        <w:rPr>
          <w:rFonts w:eastAsia="標楷體"/>
          <w:sz w:val="24"/>
          <w:szCs w:val="24"/>
        </w:rPr>
      </w:pPr>
      <w:r w:rsidRPr="00571B93">
        <w:rPr>
          <w:rFonts w:ascii="標楷體" w:eastAsia="標楷體" w:hAnsi="標楷體"/>
          <w:b/>
          <w:sz w:val="24"/>
        </w:rPr>
        <w:t>附註三：承攬者仍應對細部設計及詳細計算自行負責。</w:t>
      </w:r>
    </w:p>
    <w:sectPr w:rsidR="00AC57FF" w:rsidRPr="00571B93">
      <w:headerReference w:type="default" r:id="rId6"/>
      <w:footerReference w:type="even" r:id="rId7"/>
      <w:footerReference w:type="default" r:id="rId8"/>
      <w:pgSz w:w="11906" w:h="16838"/>
      <w:pgMar w:top="794" w:right="1418" w:bottom="794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14" w:rsidRDefault="00684514">
      <w:r>
        <w:separator/>
      </w:r>
    </w:p>
  </w:endnote>
  <w:endnote w:type="continuationSeparator" w:id="0">
    <w:p w:rsidR="00684514" w:rsidRDefault="0068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FF" w:rsidRDefault="007E62FA">
    <w:pPr>
      <w:widowControl w:val="0"/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end"/>
    </w:r>
  </w:p>
  <w:p w:rsidR="00AC57FF" w:rsidRDefault="00AC57FF">
    <w:pPr>
      <w:widowControl w:val="0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FF" w:rsidRDefault="007E62FA" w:rsidP="00193643">
    <w:pPr>
      <w:widowControl w:val="0"/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 w:rsidR="00571B93">
      <w:rPr>
        <w:rFonts w:eastAsia="Times New Roman"/>
        <w:noProof/>
      </w:rPr>
      <w:t>4</w:t>
    </w:r>
    <w:r>
      <w:fldChar w:fldCharType="end"/>
    </w:r>
  </w:p>
  <w:p w:rsidR="00AC57FF" w:rsidRDefault="00AC57FF">
    <w:pPr>
      <w:widowControl w:val="0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14" w:rsidRDefault="00684514">
      <w:r>
        <w:separator/>
      </w:r>
    </w:p>
  </w:footnote>
  <w:footnote w:type="continuationSeparator" w:id="0">
    <w:p w:rsidR="00684514" w:rsidRDefault="0068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93" w:rsidRPr="009E04B2" w:rsidRDefault="00571B93" w:rsidP="00571B93">
    <w:pPr>
      <w:pStyle w:val="a8"/>
      <w:jc w:val="right"/>
      <w:rPr>
        <w:rFonts w:eastAsia="標楷體" w:hint="eastAsia"/>
      </w:rPr>
    </w:pPr>
    <w:r>
      <w:rPr>
        <w:rFonts w:eastAsia="標楷體" w:hAnsi="標楷體"/>
      </w:rPr>
      <w:t>107</w:t>
    </w:r>
    <w:r>
      <w:rPr>
        <w:rFonts w:eastAsia="標楷體" w:hAnsi="標楷體" w:hint="eastAsia"/>
      </w:rPr>
      <w:t>年</w:t>
    </w:r>
    <w:r>
      <w:rPr>
        <w:rFonts w:eastAsia="標楷體" w:hint="eastAsia"/>
      </w:rPr>
      <w:t>3</w:t>
    </w:r>
    <w:r>
      <w:rPr>
        <w:rFonts w:eastAsia="標楷體" w:hAnsi="標楷體" w:hint="eastAsia"/>
      </w:rPr>
      <w:t>月</w:t>
    </w:r>
    <w:r>
      <w:rPr>
        <w:rFonts w:eastAsia="標楷體" w:hAnsi="標楷體" w:hint="eastAsia"/>
      </w:rPr>
      <w:t>2</w:t>
    </w:r>
    <w:r>
      <w:rPr>
        <w:rFonts w:eastAsia="標楷體" w:hAnsi="標楷體" w:hint="eastAsia"/>
      </w:rPr>
      <w:t>日修正</w:t>
    </w:r>
  </w:p>
  <w:p w:rsidR="00571B93" w:rsidRDefault="00571B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FF"/>
    <w:rsid w:val="00193643"/>
    <w:rsid w:val="00571B93"/>
    <w:rsid w:val="00684514"/>
    <w:rsid w:val="007E62FA"/>
    <w:rsid w:val="00A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19C59"/>
  <w15:docId w15:val="{0EA74B7B-DA51-42A6-8521-43A7BAE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9364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rsid w:val="00193643"/>
  </w:style>
  <w:style w:type="paragraph" w:styleId="aa">
    <w:name w:val="footer"/>
    <w:basedOn w:val="a"/>
    <w:link w:val="ab"/>
    <w:uiPriority w:val="99"/>
    <w:unhideWhenUsed/>
    <w:rsid w:val="00193643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19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hwtsai</dc:creator>
  <cp:lastModifiedBy>user</cp:lastModifiedBy>
  <cp:revision>2</cp:revision>
  <dcterms:created xsi:type="dcterms:W3CDTF">2018-03-02T01:23:00Z</dcterms:created>
  <dcterms:modified xsi:type="dcterms:W3CDTF">2018-03-02T01:23:00Z</dcterms:modified>
</cp:coreProperties>
</file>